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публичных слушаний</w:t>
      </w:r>
      <w:r/>
    </w:p>
    <w:p>
      <w:pPr>
        <w:pStyle w:val="422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по вопросу предоставления разрешения на условно разрешенный вид использования земельного участка</w:t>
      </w:r>
      <w:r>
        <w:rPr>
          <w:b w:val="false"/>
          <w:sz w:val="28"/>
          <w:szCs w:val="28"/>
        </w:rPr>
        <w:t xml:space="preserve">, расположенного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по адресу</w:t>
      </w:r>
      <w:r>
        <w:rPr>
          <w:b w:val="false"/>
          <w:sz w:val="28"/>
          <w:szCs w:val="28"/>
        </w:rPr>
        <w:t xml:space="preserve">:</w:t>
      </w:r>
      <w:r>
        <w:rPr>
          <w:b w:val="false"/>
          <w:sz w:val="28"/>
          <w:szCs w:val="28"/>
        </w:rPr>
        <w:t xml:space="preserve"> Российская Федерация, </w:t>
      </w:r>
      <w:r/>
    </w:p>
    <w:p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Свирск,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Совхозная, 58</w:t>
      </w:r>
      <w:r/>
    </w:p>
    <w:p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  <w:r/>
    </w:p>
    <w:p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Место проведения: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 xml:space="preserve">Иркутская область,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.С</w:t>
      </w:r>
      <w:r>
        <w:rPr>
          <w:sz w:val="28"/>
          <w:szCs w:val="28"/>
        </w:rPr>
        <w:t xml:space="preserve">вирск, ул.Молодёжная, д.6/А, здание администрации, конференц-зал.</w:t>
      </w:r>
      <w:r/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Время проведения: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 апреля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 час.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публичных слушаниях приняли участие </w:t>
      </w: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 человек.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Публичные слушания проводятся в соответствии с постановлением администрации города от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.20</w:t>
      </w: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назначении публичных слушаний 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вопросу предоставления разрешения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условно разрешенный вид использования земельного участка, расположенного по адресу: Российская Федерация, Иркутская область, г. Свирск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Совхозная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58</w:t>
      </w:r>
      <w:r>
        <w:rPr>
          <w:sz w:val="28"/>
          <w:szCs w:val="28"/>
        </w:rPr>
        <w:t xml:space="preserve">».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Информация о проведении публичных слушаний опубликована </w:t>
      </w:r>
      <w:r>
        <w:rPr>
          <w:sz w:val="28"/>
          <w:szCs w:val="28"/>
          <w:u w:val="single"/>
        </w:rPr>
        <w:t xml:space="preserve">в </w:t>
      </w:r>
      <w:r>
        <w:rPr>
          <w:sz w:val="28"/>
          <w:szCs w:val="28"/>
          <w:u w:val="single"/>
        </w:rPr>
        <w:t xml:space="preserve">официальном источнике </w:t>
      </w:r>
      <w:r>
        <w:rPr>
          <w:sz w:val="28"/>
          <w:szCs w:val="28"/>
          <w:u w:val="single"/>
        </w:rPr>
        <w:t xml:space="preserve">в приложении Официальный Свирск от </w:t>
      </w:r>
      <w:r>
        <w:rPr>
          <w:sz w:val="28"/>
          <w:szCs w:val="28"/>
          <w:u w:val="single"/>
        </w:rPr>
        <w:t xml:space="preserve">24 ма</w:t>
      </w:r>
      <w:r>
        <w:rPr>
          <w:sz w:val="28"/>
          <w:szCs w:val="28"/>
          <w:u w:val="single"/>
        </w:rPr>
        <w:t xml:space="preserve">рта</w:t>
      </w:r>
      <w:r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 xml:space="preserve">21</w:t>
      </w:r>
      <w:r>
        <w:rPr>
          <w:sz w:val="28"/>
          <w:szCs w:val="28"/>
          <w:u w:val="single"/>
        </w:rPr>
        <w:t xml:space="preserve"> года № </w:t>
      </w:r>
      <w:r>
        <w:rPr>
          <w:sz w:val="28"/>
          <w:szCs w:val="28"/>
          <w:u w:val="single"/>
        </w:rPr>
        <w:t xml:space="preserve">11</w:t>
      </w:r>
      <w:r>
        <w:rPr>
          <w:sz w:val="28"/>
          <w:szCs w:val="28"/>
          <w:u w:val="single"/>
        </w:rPr>
        <w:t xml:space="preserve"> и размещена </w:t>
      </w:r>
      <w:r>
        <w:rPr>
          <w:sz w:val="28"/>
          <w:szCs w:val="28"/>
          <w:u w:val="single"/>
        </w:rPr>
        <w:t xml:space="preserve">на сайте города Свирска.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проведения публичных слушаний является Комиссия по землепользованию и застройке городского округа муниципального образования «город Свирск». Председательствую</w:t>
      </w:r>
      <w:r>
        <w:rPr>
          <w:sz w:val="28"/>
          <w:szCs w:val="28"/>
        </w:rPr>
        <w:t xml:space="preserve">щи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публичных слушаний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Махонькин Д.И.</w:t>
      </w:r>
      <w:r>
        <w:rPr>
          <w:sz w:val="28"/>
          <w:szCs w:val="28"/>
        </w:rPr>
        <w:t xml:space="preserve">, секретарь публичных слушаний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Гуляев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Оповещение правообладателей з</w:t>
      </w:r>
      <w:r>
        <w:rPr>
          <w:spacing w:val="-1"/>
          <w:sz w:val="28"/>
          <w:szCs w:val="28"/>
        </w:rPr>
        <w:t xml:space="preserve">емельных участков, имеющих общие границы с земельным участком, применительно к которому запрашивается данное разрешение, правообладателей объектов капитального строительства, расположенных на земельных участках, имеющих общие границы с земельным участком, </w:t>
      </w:r>
      <w:r>
        <w:rPr>
          <w:sz w:val="28"/>
          <w:szCs w:val="28"/>
        </w:rPr>
        <w:t xml:space="preserve">применительно к которому запрашивается данное разрешение о проведен</w:t>
      </w:r>
      <w:r>
        <w:rPr>
          <w:sz w:val="28"/>
          <w:szCs w:val="28"/>
        </w:rPr>
        <w:t xml:space="preserve">ии публичных слушаний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осуществлено </w:t>
      </w:r>
      <w:r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 xml:space="preserve">рассылки</w:t>
      </w:r>
      <w:r>
        <w:rPr>
          <w:sz w:val="28"/>
          <w:szCs w:val="28"/>
        </w:rPr>
        <w:t xml:space="preserve"> информационных сообщений.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проведения публичных слушаний замечаний и предложений по вопросу публичных слушаний в комиссию по землепользованию и застройке не поступало.</w:t>
      </w:r>
      <w:r/>
    </w:p>
    <w:p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Председательствующий:</w:t>
      </w:r>
      <w:r/>
    </w:p>
    <w:p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Оглашается регламент проведения публичных слушаний: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Изложение обоснований по вопросу предоставления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, расположенного в  кадастровом квартале </w:t>
      </w:r>
      <w:r>
        <w:rPr>
          <w:sz w:val="28"/>
          <w:szCs w:val="28"/>
        </w:rPr>
        <w:t xml:space="preserve">38:33:0201</w:t>
      </w:r>
      <w:r>
        <w:rPr>
          <w:sz w:val="28"/>
          <w:szCs w:val="28"/>
        </w:rPr>
        <w:t xml:space="preserve">65</w:t>
      </w:r>
      <w:r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2000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</w:t>
      </w:r>
      <w:r>
        <w:rPr>
          <w:sz w:val="28"/>
          <w:szCs w:val="28"/>
        </w:rPr>
        <w:t xml:space="preserve">.м</w:t>
      </w:r>
      <w:r>
        <w:rPr>
          <w:sz w:val="28"/>
          <w:szCs w:val="28"/>
        </w:rPr>
        <w:t xml:space="preserve">, по адресу: Российская Федерация, Иркутская область,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Свирск, ул.</w:t>
      </w:r>
      <w:r>
        <w:rPr>
          <w:sz w:val="28"/>
          <w:szCs w:val="28"/>
        </w:rPr>
        <w:t xml:space="preserve"> Совхозная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58, </w:t>
      </w:r>
      <w:r>
        <w:rPr>
          <w:color w:val="000000"/>
          <w:sz w:val="28"/>
          <w:szCs w:val="28"/>
        </w:rPr>
        <w:t xml:space="preserve">–</w:t>
      </w:r>
      <w:r>
        <w:rPr>
          <w:color w:val="000000"/>
          <w:sz w:val="28"/>
          <w:szCs w:val="28"/>
        </w:rPr>
        <w:t xml:space="preserve"> заместитель мэра города – председатель комитета по жизнеобеспечению Махонькин Д.И.</w:t>
      </w:r>
      <w:r>
        <w:rPr>
          <w:sz w:val="28"/>
          <w:szCs w:val="28"/>
        </w:rPr>
        <w:t xml:space="preserve"> (5 минут).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Выступления участников слушаний (не более 3 минут).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Подведение итогов слушаний.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докладчик </w:t>
      </w:r>
      <w:r>
        <w:rPr>
          <w:sz w:val="28"/>
          <w:szCs w:val="28"/>
        </w:rPr>
        <w:t xml:space="preserve">Д.И. Махонькин</w:t>
      </w:r>
      <w:r>
        <w:rPr>
          <w:sz w:val="28"/>
          <w:szCs w:val="28"/>
        </w:rPr>
        <w:t xml:space="preserve">, представил</w:t>
      </w:r>
      <w:r>
        <w:rPr>
          <w:sz w:val="28"/>
          <w:szCs w:val="28"/>
        </w:rPr>
        <w:t xml:space="preserve"> следующую </w:t>
      </w:r>
      <w:r>
        <w:rPr>
          <w:sz w:val="28"/>
          <w:szCs w:val="28"/>
        </w:rPr>
        <w:t xml:space="preserve">информацию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/>
    </w:p>
    <w:p>
      <w:pPr>
        <w:ind w:firstLine="70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Правилами землепользования и застройки городского округа </w:t>
      </w:r>
      <w:r>
        <w:rPr>
          <w:color w:val="000000"/>
          <w:sz w:val="28"/>
          <w:szCs w:val="28"/>
        </w:rPr>
        <w:t xml:space="preserve">муниципального образования</w:t>
      </w:r>
      <w:r>
        <w:rPr>
          <w:color w:val="000000"/>
          <w:sz w:val="28"/>
          <w:szCs w:val="28"/>
        </w:rPr>
        <w:t xml:space="preserve"> «город Свирск», земельный участок по адресу: Иркутская область, г.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Свирск, </w:t>
      </w:r>
      <w:r>
        <w:rPr>
          <w:color w:val="000000"/>
          <w:sz w:val="28"/>
          <w:szCs w:val="28"/>
        </w:rPr>
        <w:t xml:space="preserve">ул. Совхозная, 58, площадью 2000 </w:t>
      </w:r>
      <w:r>
        <w:rPr>
          <w:color w:val="000000"/>
          <w:sz w:val="28"/>
          <w:szCs w:val="28"/>
        </w:rPr>
        <w:t xml:space="preserve">кв.м</w:t>
      </w:r>
      <w:r>
        <w:rPr>
          <w:color w:val="000000"/>
          <w:sz w:val="28"/>
          <w:szCs w:val="28"/>
        </w:rPr>
        <w:t xml:space="preserve">.,</w:t>
      </w:r>
      <w:r>
        <w:rPr>
          <w:color w:val="000000"/>
          <w:sz w:val="28"/>
          <w:szCs w:val="28"/>
        </w:rPr>
        <w:t xml:space="preserve"> расположен 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</w:rPr>
        <w:t xml:space="preserve">в</w:t>
      </w:r>
      <w:r>
        <w:rPr>
          <w:sz w:val="28"/>
        </w:rPr>
        <w:t xml:space="preserve"> зоне застройки индивидуальными жилыми домами </w:t>
      </w:r>
      <w:r>
        <w:rPr>
          <w:b/>
          <w:sz w:val="28"/>
        </w:rPr>
        <w:t xml:space="preserve">(ЖЗ-101)</w:t>
      </w:r>
      <w:r>
        <w:rPr>
          <w:b/>
          <w:sz w:val="28"/>
        </w:rPr>
        <w:t xml:space="preserve">.</w:t>
      </w:r>
      <w:r>
        <w:rPr>
          <w:b/>
          <w:color w:val="000000"/>
          <w:sz w:val="28"/>
          <w:szCs w:val="28"/>
        </w:rPr>
        <w:t xml:space="preserve"> </w:t>
      </w:r>
      <w:r/>
    </w:p>
    <w:p>
      <w:pPr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70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Основные виды разрешенного использования земельных участков в указанной зоне:</w:t>
      </w:r>
      <w:r/>
    </w:p>
    <w:p>
      <w:pPr>
        <w:ind w:firstLine="70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tbl>
      <w:tblPr>
        <w:tblW w:w="8809" w:type="dxa"/>
        <w:tblInd w:w="8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809"/>
      </w:tblGrid>
      <w:tr>
        <w:trPr>
          <w:trHeight w:val="255"/>
        </w:trPr>
        <w:tc>
          <w:tcPr>
            <w:shd w:val="clear" w:color="auto" w:fill="auto"/>
            <w:tcW w:w="880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индивидуального жилищного строительства 2.1</w:t>
            </w:r>
            <w:r/>
          </w:p>
        </w:tc>
      </w:tr>
      <w:tr>
        <w:trPr>
          <w:trHeight w:val="73"/>
        </w:trPr>
        <w:tc>
          <w:tcPr>
            <w:shd w:val="clear" w:color="auto" w:fill="auto"/>
            <w:tcW w:w="880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ведения личного подсобного хозяйства (приусадебный земельный участок) 2.2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</w:tr>
      <w:tr>
        <w:trPr>
          <w:trHeight w:val="73"/>
        </w:trPr>
        <w:tc>
          <w:tcPr>
            <w:shd w:val="clear" w:color="auto" w:fill="auto"/>
            <w:tcW w:w="880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Дошкольное, начальное и среднее общее образование 3.5.1.</w:t>
            </w:r>
            <w:r/>
          </w:p>
        </w:tc>
      </w:tr>
      <w:tr>
        <w:trPr>
          <w:trHeight w:val="73"/>
        </w:trPr>
        <w:tc>
          <w:tcPr>
            <w:shd w:val="clear" w:color="auto" w:fill="auto"/>
            <w:tcW w:w="880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коммунальных услуг 3.1.1.</w:t>
            </w:r>
            <w:r/>
          </w:p>
        </w:tc>
      </w:tr>
      <w:tr>
        <w:trPr>
          <w:trHeight w:val="73"/>
        </w:trPr>
        <w:tc>
          <w:tcPr>
            <w:shd w:val="clear" w:color="auto" w:fill="auto"/>
            <w:tcW w:w="880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(территории) общего пользования 12.0.</w:t>
            </w:r>
            <w:r/>
          </w:p>
        </w:tc>
      </w:tr>
      <w:tr>
        <w:trPr>
          <w:trHeight w:val="112"/>
        </w:trPr>
        <w:tc>
          <w:tcPr>
            <w:shd w:val="clear" w:color="auto" w:fill="auto"/>
            <w:tcW w:w="880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разрешенного использования, предусмотренные статьей 42 Правил землепользования и застройки</w:t>
            </w:r>
            <w:r/>
          </w:p>
        </w:tc>
      </w:tr>
    </w:tbl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/>
      <w:bookmarkStart w:id="0" w:name="_GoBack"/>
      <w:r/>
      <w:bookmarkEnd w:id="0"/>
      <w:r>
        <w:rPr>
          <w:sz w:val="28"/>
          <w:szCs w:val="28"/>
        </w:rPr>
        <w:t xml:space="preserve">Согласно ст.43</w:t>
      </w:r>
      <w:r>
        <w:rPr>
          <w:sz w:val="28"/>
          <w:szCs w:val="28"/>
        </w:rPr>
        <w:t xml:space="preserve"> Правил землепользования и застройки в данной зоне к числу условно разрешенных видов использования земельных участков относится испрашиваемый заявителем условно разрешенный вид использования земельного участка «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локированная жилая застройка 2.3.</w:t>
      </w:r>
      <w:r>
        <w:rPr>
          <w:sz w:val="28"/>
          <w:szCs w:val="28"/>
        </w:rPr>
        <w:t xml:space="preserve">». Так</w:t>
      </w:r>
      <w:r>
        <w:rPr>
          <w:sz w:val="28"/>
          <w:szCs w:val="28"/>
        </w:rPr>
        <w:t xml:space="preserve">им образом, становится возможным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предоставление</w:t>
      </w:r>
      <w:r>
        <w:rPr>
          <w:sz w:val="28"/>
          <w:szCs w:val="28"/>
        </w:rPr>
        <w:t xml:space="preserve"> разрешения на условно разрешенный вид использования </w:t>
      </w:r>
      <w:r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 xml:space="preserve">участка.</w:t>
      </w:r>
      <w:r>
        <w:rPr>
          <w:sz w:val="28"/>
          <w:szCs w:val="28"/>
        </w:rPr>
        <w:t xml:space="preserve"> 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публичны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слушаний </w:t>
      </w:r>
      <w:r>
        <w:rPr>
          <w:sz w:val="28"/>
          <w:szCs w:val="28"/>
        </w:rPr>
        <w:t xml:space="preserve">замечаний и предложений не поступало</w:t>
      </w:r>
      <w:r>
        <w:rPr>
          <w:sz w:val="28"/>
          <w:szCs w:val="28"/>
        </w:rPr>
        <w:t xml:space="preserve">.</w:t>
      </w:r>
      <w:r/>
    </w:p>
    <w:p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Председательствующий: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Кто за то, чтобы рекомендовать </w:t>
      </w:r>
      <w:r>
        <w:rPr>
          <w:color w:val="000000"/>
          <w:sz w:val="28"/>
          <w:szCs w:val="28"/>
        </w:rPr>
        <w:t xml:space="preserve">предоставлени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разрешения на условно разрешенный вид использования</w:t>
      </w:r>
      <w:r>
        <w:rPr>
          <w:color w:val="000000"/>
          <w:sz w:val="28"/>
          <w:szCs w:val="28"/>
        </w:rPr>
        <w:t xml:space="preserve"> земельного участка 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Б</w:t>
      </w:r>
      <w:r>
        <w:rPr>
          <w:color w:val="000000"/>
          <w:sz w:val="28"/>
          <w:szCs w:val="28"/>
        </w:rPr>
        <w:t xml:space="preserve">локированная жилая застройка 2.3.</w:t>
      </w:r>
      <w:r>
        <w:rPr>
          <w:color w:val="000000"/>
          <w:sz w:val="28"/>
          <w:szCs w:val="28"/>
        </w:rPr>
        <w:t xml:space="preserve">» в кадастровом квартале </w:t>
      </w:r>
      <w:r>
        <w:rPr>
          <w:sz w:val="28"/>
          <w:szCs w:val="28"/>
        </w:rPr>
        <w:t xml:space="preserve">38:33:0201</w:t>
      </w:r>
      <w:r>
        <w:rPr>
          <w:sz w:val="28"/>
          <w:szCs w:val="28"/>
        </w:rPr>
        <w:t xml:space="preserve">65</w:t>
      </w:r>
      <w:r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2000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</w:t>
      </w:r>
      <w:r>
        <w:rPr>
          <w:sz w:val="28"/>
          <w:szCs w:val="28"/>
        </w:rPr>
        <w:t xml:space="preserve">.м</w:t>
      </w:r>
      <w:r>
        <w:rPr>
          <w:sz w:val="28"/>
          <w:szCs w:val="28"/>
        </w:rPr>
        <w:t xml:space="preserve">, расположенного по адресу: Российская Федерация, Иркутская область,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Свирск, ул.</w:t>
      </w:r>
      <w:r>
        <w:rPr>
          <w:sz w:val="28"/>
          <w:szCs w:val="28"/>
        </w:rPr>
        <w:t xml:space="preserve"> Совхозная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58, </w:t>
      </w:r>
      <w:r>
        <w:rPr>
          <w:color w:val="000000"/>
          <w:sz w:val="28"/>
          <w:szCs w:val="28"/>
        </w:rPr>
        <w:t xml:space="preserve">с учетом поступивших предложений и замечаний.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а –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13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чел.; против – </w:t>
      </w:r>
      <w:r>
        <w:rPr>
          <w:color w:val="000000"/>
          <w:sz w:val="28"/>
          <w:szCs w:val="28"/>
        </w:rPr>
        <w:t xml:space="preserve">0</w:t>
      </w:r>
      <w:r>
        <w:rPr>
          <w:color w:val="000000"/>
          <w:sz w:val="28"/>
          <w:szCs w:val="28"/>
        </w:rPr>
        <w:t xml:space="preserve"> чел.; воздержались – </w:t>
      </w:r>
      <w:r>
        <w:rPr>
          <w:color w:val="000000"/>
          <w:sz w:val="28"/>
          <w:szCs w:val="28"/>
        </w:rPr>
        <w:t xml:space="preserve">0</w:t>
      </w:r>
      <w:r>
        <w:rPr>
          <w:color w:val="000000"/>
          <w:sz w:val="28"/>
          <w:szCs w:val="28"/>
        </w:rPr>
        <w:t xml:space="preserve"> чел.</w:t>
      </w:r>
      <w:r/>
    </w:p>
    <w:p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ПОДВЕДЕНИЕ ИТОГОВ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Рекомендовать предоставлени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разрешения на условно разрешенный вид использования </w:t>
      </w:r>
      <w:r>
        <w:rPr>
          <w:sz w:val="28"/>
          <w:szCs w:val="28"/>
        </w:rPr>
        <w:t xml:space="preserve">земельного участка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Б</w:t>
      </w:r>
      <w:r>
        <w:rPr>
          <w:color w:val="000000"/>
          <w:sz w:val="28"/>
          <w:szCs w:val="28"/>
        </w:rPr>
        <w:t xml:space="preserve">локированная жилая застройка 2.3.</w:t>
      </w:r>
      <w:r>
        <w:rPr>
          <w:color w:val="000000"/>
          <w:sz w:val="28"/>
          <w:szCs w:val="28"/>
        </w:rPr>
        <w:t xml:space="preserve">» земельного участка в кадастровом квартале </w:t>
      </w:r>
      <w:r>
        <w:rPr>
          <w:sz w:val="28"/>
          <w:szCs w:val="28"/>
        </w:rPr>
        <w:t xml:space="preserve">38:33:0201</w:t>
      </w:r>
      <w:r>
        <w:rPr>
          <w:sz w:val="28"/>
          <w:szCs w:val="28"/>
        </w:rPr>
        <w:t xml:space="preserve">65</w:t>
      </w:r>
      <w:r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2000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кв.м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, расположенного по адресу: Российская Федерация, Иркутская область,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Свирск, ул.</w:t>
      </w:r>
      <w:r>
        <w:rPr>
          <w:sz w:val="28"/>
          <w:szCs w:val="28"/>
        </w:rPr>
        <w:t xml:space="preserve"> Совхозная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58, </w:t>
      </w:r>
      <w:r>
        <w:rPr>
          <w:color w:val="000000"/>
          <w:sz w:val="28"/>
          <w:szCs w:val="28"/>
        </w:rPr>
        <w:t xml:space="preserve">с учетом поступивших предложений и замечаний.</w:t>
      </w:r>
      <w:r/>
    </w:p>
    <w:p>
      <w:pPr>
        <w:ind w:firstLine="56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Д.И. Махонькин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К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Гуляев</w:t>
      </w:r>
      <w:r/>
    </w:p>
    <w:p>
      <w:pPr>
        <w:ind w:firstLine="567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567" w:right="567" w:bottom="567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timesnewromanps-boldmt">
    <w:panose1 w:val="020704090202050204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23"/>
    <w:link w:val="422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21"/>
    <w:next w:val="42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2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21"/>
    <w:next w:val="42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2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21"/>
    <w:next w:val="42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2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21"/>
    <w:next w:val="42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2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21"/>
    <w:next w:val="42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2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21"/>
    <w:next w:val="42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2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21"/>
    <w:next w:val="42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2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21"/>
    <w:next w:val="42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2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421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21"/>
    <w:next w:val="42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23"/>
    <w:link w:val="32"/>
    <w:uiPriority w:val="10"/>
    <w:rPr>
      <w:sz w:val="48"/>
      <w:szCs w:val="48"/>
    </w:rPr>
  </w:style>
  <w:style w:type="paragraph" w:styleId="34">
    <w:name w:val="Subtitle"/>
    <w:basedOn w:val="421"/>
    <w:next w:val="42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23"/>
    <w:link w:val="34"/>
    <w:uiPriority w:val="11"/>
    <w:rPr>
      <w:sz w:val="24"/>
      <w:szCs w:val="24"/>
    </w:rPr>
  </w:style>
  <w:style w:type="paragraph" w:styleId="36">
    <w:name w:val="Quote"/>
    <w:basedOn w:val="421"/>
    <w:next w:val="42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21"/>
    <w:next w:val="421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2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23"/>
    <w:link w:val="40"/>
    <w:uiPriority w:val="99"/>
  </w:style>
  <w:style w:type="paragraph" w:styleId="42">
    <w:name w:val="Footer"/>
    <w:basedOn w:val="42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23"/>
    <w:link w:val="42"/>
    <w:uiPriority w:val="99"/>
  </w:style>
  <w:style w:type="paragraph" w:styleId="44">
    <w:name w:val="Caption"/>
    <w:basedOn w:val="421"/>
    <w:next w:val="42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4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42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23"/>
    <w:uiPriority w:val="99"/>
    <w:unhideWhenUsed/>
    <w:rPr>
      <w:vertAlign w:val="superscript"/>
    </w:rPr>
  </w:style>
  <w:style w:type="paragraph" w:styleId="176">
    <w:name w:val="endnote text"/>
    <w:basedOn w:val="42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23"/>
    <w:uiPriority w:val="99"/>
    <w:semiHidden/>
    <w:unhideWhenUsed/>
    <w:rPr>
      <w:vertAlign w:val="superscript"/>
    </w:rPr>
  </w:style>
  <w:style w:type="paragraph" w:styleId="179">
    <w:name w:val="toc 1"/>
    <w:basedOn w:val="421"/>
    <w:next w:val="42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21"/>
    <w:next w:val="42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21"/>
    <w:next w:val="42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21"/>
    <w:next w:val="42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21"/>
    <w:next w:val="42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21"/>
    <w:next w:val="42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21"/>
    <w:next w:val="42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21"/>
    <w:next w:val="42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21"/>
    <w:next w:val="42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21" w:default="1">
    <w:name w:val="Normal"/>
    <w:qFormat/>
    <w:pPr>
      <w:widowControl w:val="off"/>
    </w:pPr>
  </w:style>
  <w:style w:type="paragraph" w:styleId="422">
    <w:name w:val="Heading 1"/>
    <w:basedOn w:val="421"/>
    <w:next w:val="421"/>
    <w:qFormat/>
    <w:rPr>
      <w:b/>
    </w:rPr>
    <w:pPr>
      <w:jc w:val="center"/>
      <w:keepNext/>
      <w:widowControl/>
      <w:outlineLvl w:val="0"/>
    </w:pPr>
  </w:style>
  <w:style w:type="character" w:styleId="423" w:default="1">
    <w:name w:val="Default Paragraph Font"/>
    <w:uiPriority w:val="1"/>
    <w:unhideWhenUsed/>
  </w:style>
  <w:style w:type="table" w:styleId="4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5" w:default="1">
    <w:name w:val="No List"/>
    <w:uiPriority w:val="99"/>
    <w:semiHidden/>
    <w:unhideWhenUsed/>
  </w:style>
  <w:style w:type="character" w:styleId="426">
    <w:name w:val="Hyperlink"/>
    <w:rPr>
      <w:color w:val="0000FF"/>
      <w:u w:val="single"/>
    </w:rPr>
  </w:style>
  <w:style w:type="paragraph" w:styleId="427" w:customStyle="1">
    <w:name w:val="Заголовок статьи"/>
    <w:basedOn w:val="421"/>
    <w:next w:val="421"/>
    <w:uiPriority w:val="99"/>
    <w:rPr>
      <w:rFonts w:ascii="Arial" w:hAnsi="Arial" w:cs="Arial"/>
      <w:sz w:val="24"/>
      <w:szCs w:val="24"/>
    </w:rPr>
    <w:pPr>
      <w:ind w:left="1612" w:hanging="892"/>
      <w:jc w:val="both"/>
      <w:widowControl/>
    </w:pPr>
  </w:style>
  <w:style w:type="paragraph" w:styleId="428" w:customStyle="1">
    <w:name w:val="StGen0"/>
    <w:basedOn w:val="421"/>
    <w:rPr>
      <w:rFonts w:ascii="Tahoma" w:hAnsi="Tahoma"/>
      <w:lang w:val="en-US" w:eastAsia="en-US"/>
    </w:rPr>
    <w:pPr>
      <w:spacing w:after="100" w:afterAutospacing="1" w:before="100" w:beforeAutospacing="1"/>
      <w:widowControl/>
    </w:pPr>
  </w:style>
  <w:style w:type="table" w:styleId="429">
    <w:name w:val="Table Grid"/>
    <w:basedOn w:val="424"/>
    <w:pPr>
      <w:widowControl w:val="off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430">
    <w:name w:val="Normal (Web)"/>
    <w:basedOn w:val="421"/>
    <w:rPr>
      <w:sz w:val="24"/>
      <w:szCs w:val="24"/>
    </w:rPr>
    <w:pPr>
      <w:spacing w:after="100" w:afterAutospacing="1" w:before="100" w:beforeAutospacing="1"/>
      <w:widowControl/>
    </w:pPr>
  </w:style>
  <w:style w:type="paragraph" w:styleId="431">
    <w:name w:val="Balloon Text"/>
    <w:basedOn w:val="421"/>
    <w:link w:val="432"/>
    <w:rPr>
      <w:rFonts w:ascii="Tahoma" w:hAnsi="Tahoma" w:cs="Tahoma"/>
      <w:sz w:val="16"/>
      <w:szCs w:val="16"/>
    </w:rPr>
  </w:style>
  <w:style w:type="character" w:styleId="432" w:customStyle="1">
    <w:name w:val="Текст выноски Знак"/>
    <w:link w:val="431"/>
    <w:rPr>
      <w:rFonts w:ascii="Tahoma" w:hAnsi="Tahoma" w:cs="Tahoma"/>
      <w:sz w:val="16"/>
      <w:szCs w:val="16"/>
    </w:rPr>
  </w:style>
  <w:style w:type="paragraph" w:styleId="433" w:customStyle="1">
    <w:name w:val="Знак Знак Знак Знак"/>
    <w:basedOn w:val="421"/>
    <w:rPr>
      <w:rFonts w:ascii="Tahoma" w:hAnsi="Tahoma"/>
      <w:lang w:val="en-US" w:eastAsia="en-US"/>
    </w:rPr>
    <w:pPr>
      <w:spacing w:after="100" w:afterAutospacing="1" w:before="100" w:beforeAutospacing="1"/>
      <w:widowControl/>
    </w:pPr>
  </w:style>
  <w:style w:type="character" w:styleId="434" w:customStyle="1">
    <w:name w:val="apple-converted-space"/>
  </w:style>
  <w:style w:type="character" w:styleId="435" w:customStyle="1">
    <w:name w:val="Гипертекстовая ссылка"/>
    <w:rPr>
      <w:b/>
      <w:bCs/>
      <w:color w:val="106BBE"/>
      <w:sz w:val="26"/>
      <w:szCs w:val="26"/>
    </w:rPr>
  </w:style>
  <w:style w:type="character" w:styleId="436" w:customStyle="1">
    <w:name w:val="fontstyle01"/>
    <w:rPr>
      <w:rFonts w:ascii="TimesNewRomanPS-BoldMT" w:hAnsi="TimesNewRomanPS-BoldMT" w:hint="default"/>
      <w:b/>
      <w:bCs/>
      <w:i w:val="false"/>
      <w:iCs w:val="false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R7-Office/6.1.0.54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проводятся на основании постановления администрации от 25</dc:title>
  <dc:creator>11</dc:creator>
  <cp:lastModifiedBy>Жанна Паславская</cp:lastModifiedBy>
  <cp:revision>12</cp:revision>
  <dcterms:created xsi:type="dcterms:W3CDTF">2021-04-06T07:06:00Z</dcterms:created>
  <dcterms:modified xsi:type="dcterms:W3CDTF">2021-04-13T01:07:28Z</dcterms:modified>
</cp:coreProperties>
</file>